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381" w:rsidRPr="008B1381" w:rsidRDefault="00E7663F" w:rsidP="008B1381">
      <w:pPr>
        <w:rPr>
          <w:rFonts w:ascii="Arial" w:hAnsi="Arial"/>
        </w:rPr>
      </w:pPr>
      <w:r>
        <w:rPr>
          <w:noProof/>
        </w:rPr>
        <w:drawing>
          <wp:anchor distT="0" distB="0" distL="114300" distR="114300" simplePos="0" relativeHeight="251659264" behindDoc="0" locked="0" layoutInCell="1" allowOverlap="1" wp14:anchorId="149CFD9F" wp14:editId="65BA6658">
            <wp:simplePos x="0" y="0"/>
            <wp:positionH relativeFrom="column">
              <wp:posOffset>3190240</wp:posOffset>
            </wp:positionH>
            <wp:positionV relativeFrom="paragraph">
              <wp:posOffset>15240</wp:posOffset>
            </wp:positionV>
            <wp:extent cx="2733675" cy="56896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SBLACK"/>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733675"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381" w:rsidRPr="008B1381">
        <w:rPr>
          <w:rFonts w:ascii="Arial" w:hAnsi="Arial" w:cs="Arial"/>
          <w:b/>
          <w:color w:val="00B050"/>
        </w:rPr>
        <w:t>Decoder-to-Solenoid Cables –</w:t>
      </w:r>
      <w:r w:rsidR="008B1381" w:rsidRPr="008B1381">
        <w:rPr>
          <w:rFonts w:ascii="Arial" w:hAnsi="Arial" w:cs="Arial"/>
        </w:rPr>
        <w:t xml:space="preserve"> </w:t>
      </w:r>
      <w:r w:rsidR="008B1381" w:rsidRPr="008B1381">
        <w:rPr>
          <w:rFonts w:ascii="Arial" w:hAnsi="Arial"/>
        </w:rPr>
        <w:t>These cables are required in order to facilitate the installation when using decoders with multiple outputs for solenoids.</w:t>
      </w:r>
    </w:p>
    <w:p w:rsidR="008B1381" w:rsidRPr="008B1381" w:rsidRDefault="008B1381" w:rsidP="008B1381">
      <w:pPr>
        <w:rPr>
          <w:rFonts w:ascii="Arial" w:hAnsi="Arial" w:cs="Arial"/>
        </w:rPr>
      </w:pPr>
      <w:r w:rsidRPr="008B1381">
        <w:rPr>
          <w:rFonts w:ascii="Arial" w:hAnsi="Arial" w:cs="Arial"/>
          <w:b/>
        </w:rPr>
        <w:t>Paige Electric Co., LP specification number P7351D</w:t>
      </w:r>
      <w:r w:rsidRPr="008B1381">
        <w:rPr>
          <w:rFonts w:ascii="Arial" w:hAnsi="Arial" w:cs="Arial"/>
          <w:b/>
          <w:bCs/>
        </w:rPr>
        <w:t>.  No equal.</w:t>
      </w:r>
    </w:p>
    <w:p w:rsidR="008B1381" w:rsidRPr="008B1381" w:rsidRDefault="008B1381" w:rsidP="008B1381">
      <w:pPr>
        <w:rPr>
          <w:rFonts w:ascii="Arial" w:hAnsi="Arial"/>
        </w:rPr>
      </w:pPr>
    </w:p>
    <w:p w:rsidR="008B1381" w:rsidRDefault="008B1381" w:rsidP="008B1381">
      <w:pPr>
        <w:rPr>
          <w:rFonts w:ascii="Arial" w:hAnsi="Arial"/>
        </w:rPr>
      </w:pPr>
      <w:r w:rsidRPr="008B1381">
        <w:rPr>
          <w:rFonts w:ascii="Arial" w:hAnsi="Arial"/>
        </w:rPr>
        <w:t>The colors of the output wires of the decoder are as follows:</w:t>
      </w:r>
    </w:p>
    <w:p w:rsidR="008B1381" w:rsidRPr="008B1381" w:rsidRDefault="008B1381" w:rsidP="008B1381">
      <w:pPr>
        <w:rPr>
          <w:rFonts w:ascii="Arial" w:hAnsi="Arial"/>
        </w:rPr>
      </w:pPr>
    </w:p>
    <w:p w:rsidR="008B1381" w:rsidRPr="008B1381" w:rsidRDefault="008B1381" w:rsidP="008B1381">
      <w:pPr>
        <w:rPr>
          <w:rFonts w:ascii="Arial" w:hAnsi="Arial"/>
          <w:color w:val="FF0000"/>
        </w:rPr>
      </w:pPr>
      <w:r w:rsidRPr="008B1381">
        <w:rPr>
          <w:rFonts w:ascii="Arial" w:hAnsi="Arial"/>
          <w:color w:val="FF0000"/>
        </w:rPr>
        <w:t>For TORO systems:</w:t>
      </w:r>
    </w:p>
    <w:p w:rsidR="008B1381" w:rsidRPr="008B1381" w:rsidRDefault="008B1381" w:rsidP="008B1381">
      <w:pPr>
        <w:rPr>
          <w:rFonts w:ascii="Arial" w:hAnsi="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17"/>
        <w:gridCol w:w="1173"/>
        <w:gridCol w:w="1162"/>
        <w:gridCol w:w="1184"/>
        <w:gridCol w:w="1234"/>
      </w:tblGrid>
      <w:tr w:rsidR="008B1381" w:rsidRPr="008B1381" w:rsidTr="00EA5CF4">
        <w:trPr>
          <w:trHeight w:val="255"/>
        </w:trPr>
        <w:tc>
          <w:tcPr>
            <w:tcW w:w="1008" w:type="dxa"/>
            <w:vMerge w:val="restart"/>
            <w:shd w:val="clear" w:color="auto" w:fill="auto"/>
            <w:vAlign w:val="center"/>
            <w:hideMark/>
          </w:tcPr>
          <w:p w:rsidR="008B1381" w:rsidRPr="008B1381" w:rsidRDefault="008B1381" w:rsidP="008B1381">
            <w:pPr>
              <w:jc w:val="center"/>
              <w:rPr>
                <w:rFonts w:ascii="Arial" w:hAnsi="Arial"/>
                <w:color w:val="FF0000"/>
              </w:rPr>
            </w:pPr>
            <w:r w:rsidRPr="008B1381">
              <w:rPr>
                <w:rFonts w:ascii="Arial" w:hAnsi="Arial"/>
                <w:color w:val="FF0000"/>
              </w:rPr>
              <w:t>TORO Models</w:t>
            </w:r>
          </w:p>
        </w:tc>
        <w:tc>
          <w:tcPr>
            <w:tcW w:w="917" w:type="dxa"/>
            <w:vMerge w:val="restart"/>
            <w:shd w:val="clear" w:color="auto" w:fill="auto"/>
            <w:vAlign w:val="center"/>
            <w:hideMark/>
          </w:tcPr>
          <w:p w:rsidR="008B1381" w:rsidRPr="008B1381" w:rsidRDefault="008B1381" w:rsidP="008B1381">
            <w:pPr>
              <w:jc w:val="center"/>
              <w:rPr>
                <w:rFonts w:ascii="Arial" w:hAnsi="Arial"/>
                <w:color w:val="FF0000"/>
              </w:rPr>
            </w:pPr>
            <w:r w:rsidRPr="008B1381">
              <w:rPr>
                <w:rFonts w:ascii="Arial" w:hAnsi="Arial"/>
                <w:color w:val="FF0000"/>
              </w:rPr>
              <w:t>No. of Outputs</w:t>
            </w:r>
          </w:p>
        </w:tc>
        <w:tc>
          <w:tcPr>
            <w:tcW w:w="4753" w:type="dxa"/>
            <w:gridSpan w:val="4"/>
            <w:shd w:val="clear" w:color="auto" w:fill="auto"/>
            <w:noWrap/>
            <w:vAlign w:val="center"/>
            <w:hideMark/>
          </w:tcPr>
          <w:p w:rsidR="008B1381" w:rsidRPr="008B1381" w:rsidRDefault="008B1381" w:rsidP="008B1381">
            <w:pPr>
              <w:jc w:val="center"/>
              <w:rPr>
                <w:rFonts w:ascii="Arial" w:hAnsi="Arial"/>
                <w:b/>
                <w:bCs/>
                <w:color w:val="FF0000"/>
              </w:rPr>
            </w:pPr>
            <w:r w:rsidRPr="008B1381">
              <w:rPr>
                <w:rFonts w:ascii="Arial" w:hAnsi="Arial"/>
                <w:b/>
                <w:bCs/>
                <w:color w:val="FF0000"/>
              </w:rPr>
              <w:t>DTS Cable Color &amp; Paige Electric Part Numbers</w:t>
            </w:r>
          </w:p>
        </w:tc>
      </w:tr>
      <w:tr w:rsidR="008B1381" w:rsidRPr="008B1381" w:rsidTr="00EA5CF4">
        <w:trPr>
          <w:trHeight w:val="555"/>
        </w:trPr>
        <w:tc>
          <w:tcPr>
            <w:tcW w:w="1008" w:type="dxa"/>
            <w:vMerge/>
            <w:tcBorders>
              <w:bottom w:val="single" w:sz="4" w:space="0" w:color="auto"/>
            </w:tcBorders>
            <w:shd w:val="clear" w:color="auto" w:fill="auto"/>
            <w:vAlign w:val="center"/>
            <w:hideMark/>
          </w:tcPr>
          <w:p w:rsidR="008B1381" w:rsidRPr="008B1381" w:rsidRDefault="008B1381" w:rsidP="008B1381">
            <w:pPr>
              <w:jc w:val="center"/>
              <w:rPr>
                <w:rFonts w:ascii="Arial" w:hAnsi="Arial"/>
                <w:color w:val="FF0000"/>
              </w:rPr>
            </w:pPr>
          </w:p>
        </w:tc>
        <w:tc>
          <w:tcPr>
            <w:tcW w:w="917" w:type="dxa"/>
            <w:vMerge/>
            <w:shd w:val="clear" w:color="auto" w:fill="auto"/>
            <w:vAlign w:val="center"/>
            <w:hideMark/>
          </w:tcPr>
          <w:p w:rsidR="008B1381" w:rsidRPr="008B1381" w:rsidRDefault="008B1381" w:rsidP="008B1381">
            <w:pPr>
              <w:jc w:val="center"/>
              <w:rPr>
                <w:rFonts w:ascii="Arial" w:hAnsi="Arial"/>
                <w:color w:val="FF0000"/>
              </w:rPr>
            </w:pPr>
          </w:p>
        </w:tc>
        <w:tc>
          <w:tcPr>
            <w:tcW w:w="1173" w:type="dxa"/>
            <w:shd w:val="clear" w:color="auto" w:fill="auto"/>
            <w:vAlign w:val="center"/>
            <w:hideMark/>
          </w:tcPr>
          <w:p w:rsidR="008B1381" w:rsidRPr="008B1381" w:rsidRDefault="008B1381" w:rsidP="008B1381">
            <w:pPr>
              <w:jc w:val="center"/>
              <w:rPr>
                <w:rFonts w:ascii="Arial" w:hAnsi="Arial"/>
                <w:color w:val="FF0000"/>
              </w:rPr>
            </w:pPr>
            <w:r w:rsidRPr="008B1381">
              <w:rPr>
                <w:rFonts w:ascii="Arial" w:hAnsi="Arial"/>
                <w:color w:val="FF0000"/>
              </w:rPr>
              <w:t>Red 170803RD</w:t>
            </w:r>
          </w:p>
        </w:tc>
        <w:tc>
          <w:tcPr>
            <w:tcW w:w="1162" w:type="dxa"/>
            <w:shd w:val="clear" w:color="auto" w:fill="auto"/>
            <w:vAlign w:val="center"/>
            <w:hideMark/>
          </w:tcPr>
          <w:p w:rsidR="008B1381" w:rsidRPr="008B1381" w:rsidRDefault="008B1381" w:rsidP="008B1381">
            <w:pPr>
              <w:jc w:val="center"/>
              <w:rPr>
                <w:rFonts w:ascii="Arial" w:hAnsi="Arial"/>
                <w:color w:val="FF0000"/>
              </w:rPr>
            </w:pPr>
            <w:r w:rsidRPr="008B1381">
              <w:rPr>
                <w:rFonts w:ascii="Arial" w:hAnsi="Arial"/>
                <w:color w:val="FF0000"/>
              </w:rPr>
              <w:t>Blue 170803BU</w:t>
            </w:r>
          </w:p>
        </w:tc>
        <w:tc>
          <w:tcPr>
            <w:tcW w:w="1184" w:type="dxa"/>
            <w:shd w:val="clear" w:color="auto" w:fill="auto"/>
            <w:vAlign w:val="center"/>
            <w:hideMark/>
          </w:tcPr>
          <w:p w:rsidR="008B1381" w:rsidRPr="008B1381" w:rsidRDefault="008B1381" w:rsidP="008B1381">
            <w:pPr>
              <w:jc w:val="center"/>
              <w:rPr>
                <w:rFonts w:ascii="Arial" w:hAnsi="Arial"/>
                <w:color w:val="FF0000"/>
              </w:rPr>
            </w:pPr>
            <w:r w:rsidRPr="008B1381">
              <w:rPr>
                <w:rFonts w:ascii="Arial" w:hAnsi="Arial"/>
                <w:color w:val="FF0000"/>
              </w:rPr>
              <w:t>Green 170803GN</w:t>
            </w:r>
          </w:p>
        </w:tc>
        <w:tc>
          <w:tcPr>
            <w:tcW w:w="1234" w:type="dxa"/>
            <w:shd w:val="clear" w:color="auto" w:fill="auto"/>
            <w:vAlign w:val="center"/>
            <w:hideMark/>
          </w:tcPr>
          <w:p w:rsidR="008B1381" w:rsidRPr="008B1381" w:rsidRDefault="008B1381" w:rsidP="008B1381">
            <w:pPr>
              <w:jc w:val="center"/>
              <w:rPr>
                <w:rFonts w:ascii="Arial" w:hAnsi="Arial"/>
                <w:color w:val="FF0000"/>
              </w:rPr>
            </w:pPr>
            <w:r w:rsidRPr="008B1381">
              <w:rPr>
                <w:rFonts w:ascii="Arial" w:hAnsi="Arial"/>
                <w:color w:val="FF0000"/>
              </w:rPr>
              <w:t>Orange 170803OG</w:t>
            </w:r>
          </w:p>
        </w:tc>
        <w:bookmarkStart w:id="0" w:name="_GoBack"/>
        <w:bookmarkEnd w:id="0"/>
      </w:tr>
      <w:tr w:rsidR="008B1381" w:rsidRPr="008B1381" w:rsidTr="00EA5CF4">
        <w:trPr>
          <w:trHeight w:val="363"/>
        </w:trPr>
        <w:tc>
          <w:tcPr>
            <w:tcW w:w="1008"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DEC-1</w:t>
            </w:r>
          </w:p>
        </w:tc>
        <w:tc>
          <w:tcPr>
            <w:tcW w:w="917"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1</w:t>
            </w:r>
          </w:p>
        </w:tc>
        <w:tc>
          <w:tcPr>
            <w:tcW w:w="1173"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X</w:t>
            </w:r>
          </w:p>
        </w:tc>
        <w:tc>
          <w:tcPr>
            <w:tcW w:w="1162" w:type="dxa"/>
            <w:shd w:val="clear" w:color="auto" w:fill="auto"/>
            <w:noWrap/>
            <w:vAlign w:val="center"/>
            <w:hideMark/>
          </w:tcPr>
          <w:p w:rsidR="008B1381" w:rsidRPr="008B1381" w:rsidRDefault="008B1381" w:rsidP="008B1381">
            <w:pPr>
              <w:jc w:val="center"/>
              <w:rPr>
                <w:rFonts w:ascii="Arial" w:hAnsi="Arial"/>
                <w:color w:val="FF0000"/>
              </w:rPr>
            </w:pPr>
          </w:p>
        </w:tc>
        <w:tc>
          <w:tcPr>
            <w:tcW w:w="1184" w:type="dxa"/>
            <w:shd w:val="clear" w:color="auto" w:fill="auto"/>
            <w:noWrap/>
            <w:vAlign w:val="center"/>
            <w:hideMark/>
          </w:tcPr>
          <w:p w:rsidR="008B1381" w:rsidRPr="008B1381" w:rsidRDefault="008B1381" w:rsidP="008B1381">
            <w:pPr>
              <w:jc w:val="center"/>
              <w:rPr>
                <w:rFonts w:ascii="Arial" w:hAnsi="Arial"/>
                <w:color w:val="FF0000"/>
              </w:rPr>
            </w:pPr>
          </w:p>
        </w:tc>
        <w:tc>
          <w:tcPr>
            <w:tcW w:w="1234" w:type="dxa"/>
            <w:shd w:val="clear" w:color="auto" w:fill="auto"/>
            <w:noWrap/>
            <w:vAlign w:val="center"/>
            <w:hideMark/>
          </w:tcPr>
          <w:p w:rsidR="008B1381" w:rsidRPr="008B1381" w:rsidRDefault="008B1381" w:rsidP="008B1381">
            <w:pPr>
              <w:jc w:val="center"/>
              <w:rPr>
                <w:rFonts w:ascii="Arial" w:hAnsi="Arial"/>
                <w:color w:val="FF0000"/>
              </w:rPr>
            </w:pPr>
          </w:p>
        </w:tc>
      </w:tr>
      <w:tr w:rsidR="008B1381" w:rsidRPr="008B1381" w:rsidTr="00EA5CF4">
        <w:trPr>
          <w:trHeight w:val="354"/>
        </w:trPr>
        <w:tc>
          <w:tcPr>
            <w:tcW w:w="1008"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DEC-2</w:t>
            </w:r>
          </w:p>
        </w:tc>
        <w:tc>
          <w:tcPr>
            <w:tcW w:w="917"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2</w:t>
            </w:r>
          </w:p>
        </w:tc>
        <w:tc>
          <w:tcPr>
            <w:tcW w:w="1173" w:type="dxa"/>
            <w:shd w:val="clear" w:color="auto" w:fill="auto"/>
            <w:noWrap/>
            <w:vAlign w:val="center"/>
            <w:hideMark/>
          </w:tcPr>
          <w:p w:rsidR="008B1381" w:rsidRPr="008B1381" w:rsidRDefault="008B1381" w:rsidP="008B1381">
            <w:pPr>
              <w:jc w:val="center"/>
              <w:rPr>
                <w:rFonts w:ascii="Arial" w:hAnsi="Arial"/>
                <w:color w:val="FF0000"/>
              </w:rPr>
            </w:pPr>
          </w:p>
        </w:tc>
        <w:tc>
          <w:tcPr>
            <w:tcW w:w="1162" w:type="dxa"/>
            <w:shd w:val="clear" w:color="auto" w:fill="auto"/>
            <w:noWrap/>
            <w:vAlign w:val="center"/>
            <w:hideMark/>
          </w:tcPr>
          <w:p w:rsidR="008B1381" w:rsidRPr="008B1381" w:rsidRDefault="008B1381" w:rsidP="008B1381">
            <w:pPr>
              <w:jc w:val="center"/>
              <w:rPr>
                <w:rFonts w:ascii="Arial" w:hAnsi="Arial"/>
                <w:color w:val="FF0000"/>
              </w:rPr>
            </w:pPr>
          </w:p>
        </w:tc>
        <w:tc>
          <w:tcPr>
            <w:tcW w:w="1184"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X</w:t>
            </w:r>
          </w:p>
        </w:tc>
        <w:tc>
          <w:tcPr>
            <w:tcW w:w="1234"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X</w:t>
            </w:r>
          </w:p>
        </w:tc>
      </w:tr>
      <w:tr w:rsidR="008B1381" w:rsidRPr="008B1381" w:rsidTr="00EA5CF4">
        <w:trPr>
          <w:trHeight w:val="354"/>
        </w:trPr>
        <w:tc>
          <w:tcPr>
            <w:tcW w:w="1008"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DEC-4</w:t>
            </w:r>
          </w:p>
        </w:tc>
        <w:tc>
          <w:tcPr>
            <w:tcW w:w="917"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4</w:t>
            </w:r>
          </w:p>
        </w:tc>
        <w:tc>
          <w:tcPr>
            <w:tcW w:w="1173"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X</w:t>
            </w:r>
          </w:p>
        </w:tc>
        <w:tc>
          <w:tcPr>
            <w:tcW w:w="1162"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X</w:t>
            </w:r>
          </w:p>
        </w:tc>
        <w:tc>
          <w:tcPr>
            <w:tcW w:w="1184"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X</w:t>
            </w:r>
          </w:p>
        </w:tc>
        <w:tc>
          <w:tcPr>
            <w:tcW w:w="1234" w:type="dxa"/>
            <w:shd w:val="clear" w:color="auto" w:fill="auto"/>
            <w:noWrap/>
            <w:vAlign w:val="center"/>
            <w:hideMark/>
          </w:tcPr>
          <w:p w:rsidR="008B1381" w:rsidRPr="008B1381" w:rsidRDefault="008B1381" w:rsidP="008B1381">
            <w:pPr>
              <w:jc w:val="center"/>
              <w:rPr>
                <w:rFonts w:ascii="Arial" w:hAnsi="Arial"/>
                <w:color w:val="FF0000"/>
              </w:rPr>
            </w:pPr>
            <w:r w:rsidRPr="008B1381">
              <w:rPr>
                <w:rFonts w:ascii="Arial" w:hAnsi="Arial"/>
                <w:color w:val="FF0000"/>
              </w:rPr>
              <w:t>X</w:t>
            </w:r>
          </w:p>
        </w:tc>
      </w:tr>
    </w:tbl>
    <w:p w:rsidR="008B1381" w:rsidRPr="008B1381" w:rsidRDefault="008B1381" w:rsidP="008B1381">
      <w:pPr>
        <w:jc w:val="center"/>
        <w:rPr>
          <w:rFonts w:ascii="Arial" w:hAnsi="Arial"/>
        </w:rPr>
      </w:pPr>
    </w:p>
    <w:p w:rsidR="008B1381" w:rsidRPr="008B1381" w:rsidRDefault="008B1381" w:rsidP="008B1381">
      <w:pPr>
        <w:rPr>
          <w:rFonts w:ascii="Arial" w:hAnsi="Arial"/>
        </w:rPr>
      </w:pPr>
      <w:r>
        <w:rPr>
          <w:rFonts w:ascii="Arial" w:hAnsi="Arial"/>
        </w:rPr>
        <w:t>T</w:t>
      </w:r>
      <w:r w:rsidRPr="008B1381">
        <w:rPr>
          <w:rFonts w:ascii="Arial" w:hAnsi="Arial"/>
        </w:rPr>
        <w:t>he contractor shall match the colors of the decoder output wires when the solenoid is not in the same valve box as the decoder.  DTS cables shall be used for this purpose.  Here is a typical installation of a system using decoders with 6 outputs:</w:t>
      </w:r>
    </w:p>
    <w:p w:rsidR="008B1381" w:rsidRPr="008B1381" w:rsidRDefault="008B1381" w:rsidP="008B1381">
      <w:pPr>
        <w:rPr>
          <w:rFonts w:ascii="Arial" w:hAnsi="Arial"/>
        </w:rPr>
      </w:pPr>
    </w:p>
    <w:p w:rsidR="006A2581" w:rsidRDefault="006A2581" w:rsidP="008B1381">
      <w:pPr>
        <w:rPr>
          <w:rFonts w:ascii="Arial" w:hAnsi="Arial" w:cs="Arial"/>
          <w:b/>
          <w:i/>
          <w:color w:val="FF0000"/>
          <w:szCs w:val="22"/>
        </w:rPr>
      </w:pPr>
      <w:r>
        <w:rPr>
          <w:noProof/>
        </w:rPr>
        <w:drawing>
          <wp:inline distT="0" distB="0" distL="0" distR="0" wp14:anchorId="36F7219D" wp14:editId="103B10FA">
            <wp:extent cx="6217920" cy="41249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17920" cy="4124960"/>
                    </a:xfrm>
                    <a:prstGeom prst="rect">
                      <a:avLst/>
                    </a:prstGeom>
                  </pic:spPr>
                </pic:pic>
              </a:graphicData>
            </a:graphic>
          </wp:inline>
        </w:drawing>
      </w:r>
    </w:p>
    <w:p w:rsidR="006A2581" w:rsidRDefault="006A2581" w:rsidP="008B1381">
      <w:pPr>
        <w:rPr>
          <w:rFonts w:ascii="Arial" w:hAnsi="Arial" w:cs="Arial"/>
          <w:b/>
          <w:i/>
          <w:color w:val="FF0000"/>
          <w:szCs w:val="22"/>
        </w:rPr>
      </w:pPr>
    </w:p>
    <w:p w:rsidR="008B1381" w:rsidRPr="008B1381" w:rsidRDefault="008B1381" w:rsidP="008B1381">
      <w:pPr>
        <w:rPr>
          <w:rFonts w:ascii="Arial" w:hAnsi="Arial" w:cs="Arial"/>
          <w:b/>
          <w:i/>
          <w:color w:val="FF0000"/>
          <w:szCs w:val="22"/>
        </w:rPr>
      </w:pPr>
      <w:r w:rsidRPr="008B1381">
        <w:rPr>
          <w:rFonts w:ascii="Arial" w:hAnsi="Arial" w:cs="Arial"/>
          <w:b/>
          <w:i/>
          <w:color w:val="FF0000"/>
          <w:szCs w:val="22"/>
        </w:rPr>
        <w:t>Installation Tips of DTS Cables in TORO Systems:</w:t>
      </w:r>
    </w:p>
    <w:p w:rsidR="008B1381" w:rsidRPr="008B1381" w:rsidRDefault="008B1381" w:rsidP="008B1381">
      <w:pPr>
        <w:rPr>
          <w:rFonts w:ascii="Arial" w:hAnsi="Arial" w:cs="Arial"/>
        </w:rPr>
      </w:pPr>
    </w:p>
    <w:p w:rsidR="008B1381" w:rsidRPr="008B1381" w:rsidRDefault="008B1381" w:rsidP="008B1381">
      <w:pPr>
        <w:rPr>
          <w:rFonts w:ascii="Arial" w:hAnsi="Arial" w:cs="Arial"/>
        </w:rPr>
      </w:pPr>
      <w:r w:rsidRPr="008B1381">
        <w:rPr>
          <w:rFonts w:ascii="Arial" w:hAnsi="Arial" w:cs="Arial"/>
        </w:rPr>
        <w:t>TORO Decoder Systems utilize “latching” solenoids.  This means that the decoder sends temporary pulses to turn the solenoid ON (positive pulse) and OFF (negative pulse.)  For this reason, the wiring must be polarized or the valve will go OFF when turned on and it will go ON when turned off.</w:t>
      </w:r>
    </w:p>
    <w:p w:rsidR="008B1381" w:rsidRPr="008B1381" w:rsidRDefault="008B1381" w:rsidP="008B1381">
      <w:pPr>
        <w:rPr>
          <w:rFonts w:ascii="Arial" w:hAnsi="Arial" w:cs="Arial"/>
        </w:rPr>
      </w:pPr>
    </w:p>
    <w:p w:rsidR="008B1381" w:rsidRPr="008B1381" w:rsidRDefault="008B1381" w:rsidP="008B1381">
      <w:pPr>
        <w:rPr>
          <w:rFonts w:ascii="Arial" w:hAnsi="Arial" w:cs="Arial"/>
        </w:rPr>
      </w:pPr>
      <w:r w:rsidRPr="008B1381">
        <w:rPr>
          <w:rFonts w:ascii="Arial" w:hAnsi="Arial" w:cs="Arial"/>
        </w:rPr>
        <w:t xml:space="preserve">The decoders have two output wires, one of a solid color and the other is the same solid color with a black stripe.  The DTS cables have two zipped wires, one of a solid color and the other is the same solid color with </w:t>
      </w:r>
      <w:r w:rsidRPr="008B1381">
        <w:rPr>
          <w:rFonts w:ascii="Arial" w:hAnsi="Arial" w:cs="Arial"/>
        </w:rPr>
        <w:lastRenderedPageBreak/>
        <w:t>black printing.  Connect the decoder wire with the black stripe to the DTS wire with black printing.  See photo below.</w:t>
      </w:r>
    </w:p>
    <w:p w:rsidR="008B1381" w:rsidRPr="008B1381" w:rsidRDefault="008B1381" w:rsidP="008B1381">
      <w:pPr>
        <w:rPr>
          <w:rFonts w:ascii="Arial" w:hAnsi="Arial" w:cs="Arial"/>
          <w:b/>
        </w:rPr>
      </w:pPr>
    </w:p>
    <w:p w:rsidR="008B1381" w:rsidRPr="008B1381" w:rsidRDefault="006A2581" w:rsidP="008B1381">
      <w:pPr>
        <w:rPr>
          <w:rFonts w:ascii="Arial" w:hAnsi="Arial" w:cs="Arial"/>
          <w:b/>
        </w:rPr>
      </w:pPr>
      <w:r>
        <w:rPr>
          <w:noProof/>
        </w:rPr>
        <w:drawing>
          <wp:inline distT="0" distB="0" distL="0" distR="0" wp14:anchorId="2C1500C8" wp14:editId="749E6BB5">
            <wp:extent cx="5200650" cy="2066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00650" cy="2066925"/>
                    </a:xfrm>
                    <a:prstGeom prst="rect">
                      <a:avLst/>
                    </a:prstGeom>
                  </pic:spPr>
                </pic:pic>
              </a:graphicData>
            </a:graphic>
          </wp:inline>
        </w:drawing>
      </w:r>
    </w:p>
    <w:p w:rsidR="008B1381" w:rsidRPr="008B1381" w:rsidRDefault="008B1381" w:rsidP="008B1381">
      <w:pPr>
        <w:rPr>
          <w:rFonts w:ascii="Arial" w:hAnsi="Arial" w:cs="Arial"/>
          <w:color w:val="000000"/>
          <w:szCs w:val="22"/>
        </w:rPr>
      </w:pPr>
    </w:p>
    <w:p w:rsidR="008B1381" w:rsidRPr="008B1381" w:rsidRDefault="008B1381" w:rsidP="008B1381">
      <w:pPr>
        <w:rPr>
          <w:rFonts w:ascii="Arial" w:hAnsi="Arial" w:cs="Arial"/>
          <w:color w:val="000000"/>
          <w:szCs w:val="22"/>
        </w:rPr>
      </w:pPr>
      <w:r w:rsidRPr="008B1381">
        <w:rPr>
          <w:rFonts w:ascii="Arial" w:hAnsi="Arial" w:cs="Arial"/>
          <w:color w:val="000000"/>
          <w:szCs w:val="22"/>
        </w:rPr>
        <w:t>At the valve location, connect the DTS wire with black printing to the black solenoid wire.</w:t>
      </w:r>
    </w:p>
    <w:p w:rsidR="00DE67BF" w:rsidRPr="008B1381" w:rsidRDefault="00DE67BF" w:rsidP="008B1381"/>
    <w:sectPr w:rsidR="00DE67BF" w:rsidRPr="008B1381" w:rsidSect="008B1381">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92C2C"/>
    <w:rsid w:val="005225F0"/>
    <w:rsid w:val="00570544"/>
    <w:rsid w:val="006A2581"/>
    <w:rsid w:val="008B1381"/>
    <w:rsid w:val="008B55BE"/>
    <w:rsid w:val="00914E08"/>
    <w:rsid w:val="00B00C7A"/>
    <w:rsid w:val="00C25726"/>
    <w:rsid w:val="00DD5EAC"/>
    <w:rsid w:val="00DE67BF"/>
    <w:rsid w:val="00E7663F"/>
    <w:rsid w:val="00F9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92D88-4721-4B3C-A8E9-6E6ECAF4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3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Fadi Safadi</cp:lastModifiedBy>
  <cp:revision>5</cp:revision>
  <dcterms:created xsi:type="dcterms:W3CDTF">2014-11-08T12:47:00Z</dcterms:created>
  <dcterms:modified xsi:type="dcterms:W3CDTF">2015-01-30T17:06:00Z</dcterms:modified>
</cp:coreProperties>
</file>