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544" w:rsidRPr="00570544" w:rsidRDefault="00761FE9" w:rsidP="00570544">
      <w:pPr>
        <w:rPr>
          <w:rFonts w:ascii="Arial" w:hAnsi="Arial"/>
        </w:rPr>
      </w:pPr>
      <w:r>
        <w:rPr>
          <w:noProof/>
        </w:rPr>
        <w:drawing>
          <wp:anchor distT="0" distB="0" distL="114300" distR="114300" simplePos="0" relativeHeight="251658240" behindDoc="0" locked="0" layoutInCell="1" allowOverlap="1" wp14:anchorId="32E21884" wp14:editId="26D35C57">
            <wp:simplePos x="0" y="0"/>
            <wp:positionH relativeFrom="column">
              <wp:posOffset>2533650</wp:posOffset>
            </wp:positionH>
            <wp:positionV relativeFrom="paragraph">
              <wp:posOffset>91440</wp:posOffset>
            </wp:positionV>
            <wp:extent cx="3400425" cy="478790"/>
            <wp:effectExtent l="0" t="0" r="9525" b="0"/>
            <wp:wrapSquare wrapText="bothSides"/>
            <wp:docPr id="2" name="Picture 2" descr="C:\Users\Vince\AppData\Local\Microsoft\Windows\Temporary Internet Files\Content.Word\P7351D.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AppData\Local\Microsoft\Windows\Temporary Internet Files\Content.Word\P7351D.Whit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0425" cy="4787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0544" w:rsidRPr="00570544">
        <w:rPr>
          <w:rFonts w:ascii="Arial" w:hAnsi="Arial" w:cs="Arial"/>
          <w:b/>
          <w:color w:val="00B050"/>
        </w:rPr>
        <w:t>Decoder-to-Solenoid Cables –</w:t>
      </w:r>
      <w:r w:rsidR="00570544" w:rsidRPr="00570544">
        <w:rPr>
          <w:rFonts w:ascii="Arial" w:hAnsi="Arial" w:cs="Arial"/>
        </w:rPr>
        <w:t xml:space="preserve"> </w:t>
      </w:r>
      <w:r w:rsidR="00570544" w:rsidRPr="00570544">
        <w:rPr>
          <w:rFonts w:ascii="Arial" w:hAnsi="Arial"/>
        </w:rPr>
        <w:t>These cables are required in order to facilitate the installation when using decoders with multiple outputs for solenoids.</w:t>
      </w:r>
    </w:p>
    <w:p w:rsidR="00570544" w:rsidRPr="00570544" w:rsidRDefault="00570544" w:rsidP="00570544">
      <w:pPr>
        <w:rPr>
          <w:rFonts w:ascii="Arial" w:hAnsi="Arial" w:cs="Arial"/>
        </w:rPr>
      </w:pPr>
      <w:r w:rsidRPr="00570544">
        <w:rPr>
          <w:rFonts w:ascii="Arial" w:hAnsi="Arial" w:cs="Arial"/>
          <w:b/>
        </w:rPr>
        <w:t>Paige Electric Co., LP specification number P7351D</w:t>
      </w:r>
      <w:r w:rsidRPr="00570544">
        <w:rPr>
          <w:rFonts w:ascii="Arial" w:hAnsi="Arial" w:cs="Arial"/>
          <w:b/>
          <w:bCs/>
        </w:rPr>
        <w:t>.  No equal.</w:t>
      </w:r>
      <w:r w:rsidR="00761FE9" w:rsidRPr="00761FE9">
        <w:t xml:space="preserve"> </w:t>
      </w:r>
    </w:p>
    <w:p w:rsidR="00570544" w:rsidRPr="00570544" w:rsidRDefault="00570544" w:rsidP="00570544">
      <w:pPr>
        <w:rPr>
          <w:rFonts w:ascii="Arial" w:hAnsi="Arial"/>
        </w:rPr>
      </w:pPr>
    </w:p>
    <w:p w:rsidR="00570544" w:rsidRPr="00570544" w:rsidRDefault="00570544" w:rsidP="00570544">
      <w:pPr>
        <w:rPr>
          <w:rFonts w:ascii="Arial" w:hAnsi="Arial"/>
        </w:rPr>
      </w:pPr>
      <w:r w:rsidRPr="00570544">
        <w:rPr>
          <w:rFonts w:ascii="Arial" w:hAnsi="Arial"/>
        </w:rPr>
        <w:t>The colors of the output wires of the decoder are as follows:</w:t>
      </w:r>
    </w:p>
    <w:p w:rsidR="009965D9" w:rsidRPr="009965D9" w:rsidRDefault="009965D9" w:rsidP="009965D9">
      <w:pPr>
        <w:rPr>
          <w:rFonts w:ascii="Arial" w:hAnsi="Arial"/>
        </w:rPr>
      </w:pPr>
      <w:bookmarkStart w:id="0" w:name="_GoBack"/>
      <w:bookmarkEnd w:id="0"/>
    </w:p>
    <w:p w:rsidR="009965D9" w:rsidRPr="009965D9" w:rsidRDefault="009965D9" w:rsidP="009965D9">
      <w:pPr>
        <w:rPr>
          <w:rFonts w:ascii="Arial" w:hAnsi="Arial"/>
          <w:color w:val="00B050"/>
        </w:rPr>
      </w:pPr>
      <w:r w:rsidRPr="009965D9">
        <w:rPr>
          <w:rFonts w:ascii="Arial" w:hAnsi="Arial"/>
          <w:color w:val="00B050"/>
        </w:rPr>
        <w:t>For Rain Bird systems:</w:t>
      </w:r>
    </w:p>
    <w:p w:rsidR="009965D9" w:rsidRPr="009965D9" w:rsidRDefault="009965D9" w:rsidP="009965D9">
      <w:pPr>
        <w:rPr>
          <w:rFonts w:ascii="Arial" w:hAnsi="Arial"/>
          <w:color w:val="00B05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00"/>
        <w:gridCol w:w="1170"/>
        <w:gridCol w:w="1170"/>
        <w:gridCol w:w="1080"/>
        <w:gridCol w:w="1097"/>
        <w:gridCol w:w="1153"/>
        <w:gridCol w:w="1097"/>
      </w:tblGrid>
      <w:tr w:rsidR="009965D9" w:rsidRPr="009965D9" w:rsidTr="00EA5CF4">
        <w:trPr>
          <w:trHeight w:val="255"/>
        </w:trPr>
        <w:tc>
          <w:tcPr>
            <w:tcW w:w="918" w:type="dxa"/>
            <w:vMerge w:val="restart"/>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Rain Bird Model</w:t>
            </w:r>
          </w:p>
        </w:tc>
        <w:tc>
          <w:tcPr>
            <w:tcW w:w="900" w:type="dxa"/>
            <w:vMerge w:val="restart"/>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No. of Outputs</w:t>
            </w:r>
          </w:p>
        </w:tc>
        <w:tc>
          <w:tcPr>
            <w:tcW w:w="6767" w:type="dxa"/>
            <w:gridSpan w:val="6"/>
            <w:shd w:val="clear" w:color="auto" w:fill="auto"/>
            <w:noWrap/>
            <w:vAlign w:val="center"/>
            <w:hideMark/>
          </w:tcPr>
          <w:p w:rsidR="009965D9" w:rsidRPr="009965D9" w:rsidRDefault="009965D9" w:rsidP="009965D9">
            <w:pPr>
              <w:jc w:val="center"/>
              <w:rPr>
                <w:rFonts w:ascii="Arial" w:hAnsi="Arial" w:cs="Arial"/>
                <w:b/>
                <w:bCs/>
                <w:color w:val="00B050"/>
                <w:sz w:val="18"/>
                <w:szCs w:val="18"/>
              </w:rPr>
            </w:pPr>
            <w:r w:rsidRPr="009965D9">
              <w:rPr>
                <w:rFonts w:ascii="Arial" w:hAnsi="Arial"/>
                <w:b/>
                <w:bCs/>
                <w:color w:val="00B050"/>
                <w:sz w:val="18"/>
              </w:rPr>
              <w:t>DTS Cable Color &amp; Paige Electric Part Numbers</w:t>
            </w:r>
          </w:p>
        </w:tc>
      </w:tr>
      <w:tr w:rsidR="009965D9" w:rsidRPr="009965D9" w:rsidTr="00EA5CF4">
        <w:trPr>
          <w:trHeight w:val="555"/>
        </w:trPr>
        <w:tc>
          <w:tcPr>
            <w:tcW w:w="918"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900"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1170" w:type="dxa"/>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Red 170803RD</w:t>
            </w:r>
          </w:p>
        </w:tc>
        <w:tc>
          <w:tcPr>
            <w:tcW w:w="1170" w:type="dxa"/>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Brown 170803BN</w:t>
            </w:r>
          </w:p>
        </w:tc>
        <w:tc>
          <w:tcPr>
            <w:tcW w:w="1080" w:type="dxa"/>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Gray 170803GY</w:t>
            </w:r>
          </w:p>
        </w:tc>
        <w:tc>
          <w:tcPr>
            <w:tcW w:w="1097" w:type="dxa"/>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Orange 170803OG</w:t>
            </w:r>
          </w:p>
        </w:tc>
        <w:tc>
          <w:tcPr>
            <w:tcW w:w="1153" w:type="dxa"/>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Black 170803BK</w:t>
            </w:r>
          </w:p>
        </w:tc>
        <w:tc>
          <w:tcPr>
            <w:tcW w:w="1097" w:type="dxa"/>
            <w:shd w:val="clear" w:color="auto" w:fill="auto"/>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White 170803WT</w:t>
            </w:r>
          </w:p>
        </w:tc>
      </w:tr>
      <w:tr w:rsidR="009965D9" w:rsidRPr="009965D9" w:rsidTr="00EA5CF4">
        <w:trPr>
          <w:trHeight w:val="255"/>
        </w:trPr>
        <w:tc>
          <w:tcPr>
            <w:tcW w:w="918"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FD-101</w:t>
            </w:r>
          </w:p>
        </w:tc>
        <w:tc>
          <w:tcPr>
            <w:tcW w:w="900" w:type="dxa"/>
            <w:vMerge w:val="restart"/>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1</w:t>
            </w:r>
          </w:p>
        </w:tc>
        <w:tc>
          <w:tcPr>
            <w:tcW w:w="1170" w:type="dxa"/>
            <w:vMerge w:val="restart"/>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170" w:type="dxa"/>
            <w:vMerge w:val="restart"/>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080" w:type="dxa"/>
            <w:vMerge w:val="restart"/>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097" w:type="dxa"/>
            <w:vMerge w:val="restart"/>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153" w:type="dxa"/>
            <w:vMerge w:val="restart"/>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097" w:type="dxa"/>
            <w:vMerge w:val="restart"/>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r>
      <w:tr w:rsidR="009965D9" w:rsidRPr="009965D9" w:rsidTr="00EA5CF4">
        <w:trPr>
          <w:trHeight w:val="255"/>
        </w:trPr>
        <w:tc>
          <w:tcPr>
            <w:tcW w:w="918"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FD-102</w:t>
            </w:r>
          </w:p>
        </w:tc>
        <w:tc>
          <w:tcPr>
            <w:tcW w:w="900"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1170"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1170"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1080"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1097"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1153"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c>
          <w:tcPr>
            <w:tcW w:w="1097" w:type="dxa"/>
            <w:vMerge/>
            <w:shd w:val="clear" w:color="auto" w:fill="auto"/>
            <w:vAlign w:val="center"/>
            <w:hideMark/>
          </w:tcPr>
          <w:p w:rsidR="009965D9" w:rsidRPr="009965D9" w:rsidRDefault="009965D9" w:rsidP="009965D9">
            <w:pPr>
              <w:jc w:val="center"/>
              <w:rPr>
                <w:rFonts w:ascii="Arial" w:hAnsi="Arial" w:cs="Arial"/>
                <w:color w:val="00B050"/>
                <w:sz w:val="18"/>
                <w:szCs w:val="18"/>
              </w:rPr>
            </w:pPr>
          </w:p>
        </w:tc>
      </w:tr>
      <w:tr w:rsidR="009965D9" w:rsidRPr="009965D9" w:rsidTr="00EA5CF4">
        <w:trPr>
          <w:trHeight w:val="255"/>
        </w:trPr>
        <w:tc>
          <w:tcPr>
            <w:tcW w:w="918"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FD-202</w:t>
            </w:r>
          </w:p>
        </w:tc>
        <w:tc>
          <w:tcPr>
            <w:tcW w:w="90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2</w:t>
            </w:r>
          </w:p>
        </w:tc>
        <w:tc>
          <w:tcPr>
            <w:tcW w:w="117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17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08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097"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153"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097"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r>
      <w:tr w:rsidR="009965D9" w:rsidRPr="009965D9" w:rsidTr="00EA5CF4">
        <w:trPr>
          <w:trHeight w:val="255"/>
        </w:trPr>
        <w:tc>
          <w:tcPr>
            <w:tcW w:w="918"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FD-401</w:t>
            </w:r>
          </w:p>
        </w:tc>
        <w:tc>
          <w:tcPr>
            <w:tcW w:w="90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4</w:t>
            </w:r>
          </w:p>
        </w:tc>
        <w:tc>
          <w:tcPr>
            <w:tcW w:w="117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17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08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p>
        </w:tc>
        <w:tc>
          <w:tcPr>
            <w:tcW w:w="1097"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153"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097"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p>
        </w:tc>
      </w:tr>
      <w:tr w:rsidR="009965D9" w:rsidRPr="009965D9" w:rsidTr="00EA5CF4">
        <w:trPr>
          <w:trHeight w:val="255"/>
        </w:trPr>
        <w:tc>
          <w:tcPr>
            <w:tcW w:w="918"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FD-601</w:t>
            </w:r>
          </w:p>
        </w:tc>
        <w:tc>
          <w:tcPr>
            <w:tcW w:w="90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6</w:t>
            </w:r>
          </w:p>
        </w:tc>
        <w:tc>
          <w:tcPr>
            <w:tcW w:w="117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17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080"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097"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153"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c>
          <w:tcPr>
            <w:tcW w:w="1097" w:type="dxa"/>
            <w:shd w:val="clear" w:color="auto" w:fill="auto"/>
            <w:noWrap/>
            <w:vAlign w:val="center"/>
            <w:hideMark/>
          </w:tcPr>
          <w:p w:rsidR="009965D9" w:rsidRPr="009965D9" w:rsidRDefault="009965D9" w:rsidP="009965D9">
            <w:pPr>
              <w:jc w:val="center"/>
              <w:rPr>
                <w:rFonts w:ascii="Arial" w:hAnsi="Arial" w:cs="Arial"/>
                <w:color w:val="00B050"/>
                <w:sz w:val="18"/>
                <w:szCs w:val="18"/>
              </w:rPr>
            </w:pPr>
            <w:r w:rsidRPr="009965D9">
              <w:rPr>
                <w:rFonts w:ascii="Arial" w:hAnsi="Arial" w:cs="Arial"/>
                <w:color w:val="00B050"/>
                <w:sz w:val="18"/>
                <w:szCs w:val="18"/>
              </w:rPr>
              <w:t>X</w:t>
            </w:r>
          </w:p>
        </w:tc>
      </w:tr>
    </w:tbl>
    <w:p w:rsidR="009965D9" w:rsidRPr="009965D9" w:rsidRDefault="009965D9" w:rsidP="009965D9">
      <w:pPr>
        <w:rPr>
          <w:rFonts w:ascii="Arial" w:hAnsi="Arial"/>
        </w:rPr>
      </w:pPr>
    </w:p>
    <w:p w:rsidR="009965D9" w:rsidRPr="009965D9" w:rsidRDefault="009965D9" w:rsidP="009965D9">
      <w:pPr>
        <w:rPr>
          <w:rFonts w:ascii="Arial" w:hAnsi="Arial"/>
        </w:rPr>
      </w:pPr>
      <w:r w:rsidRPr="009965D9">
        <w:rPr>
          <w:rFonts w:ascii="Arial" w:hAnsi="Arial"/>
        </w:rPr>
        <w:t>The contractor shall match the colors of the decoder output wires when the solenoid is not in the same valve box as the decoder.  DTS cables shall be used for this purpose.  Here is a typical installation of a system using decoders with 6 outputs:</w:t>
      </w:r>
    </w:p>
    <w:p w:rsidR="009965D9" w:rsidRPr="009965D9" w:rsidRDefault="009965D9" w:rsidP="009965D9">
      <w:pPr>
        <w:rPr>
          <w:rFonts w:ascii="Arial" w:hAnsi="Arial"/>
        </w:rPr>
      </w:pPr>
    </w:p>
    <w:p w:rsidR="00DE67BF" w:rsidRPr="005225F0" w:rsidRDefault="00CD4CBD" w:rsidP="005225F0">
      <w:r>
        <w:rPr>
          <w:noProof/>
        </w:rPr>
        <w:drawing>
          <wp:inline distT="0" distB="0" distL="0" distR="0" wp14:anchorId="2657EA3B" wp14:editId="6864A8B4">
            <wp:extent cx="6217920" cy="41249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7920" cy="4124960"/>
                    </a:xfrm>
                    <a:prstGeom prst="rect">
                      <a:avLst/>
                    </a:prstGeom>
                  </pic:spPr>
                </pic:pic>
              </a:graphicData>
            </a:graphic>
          </wp:inline>
        </w:drawing>
      </w:r>
    </w:p>
    <w:sectPr w:rsidR="00DE67BF" w:rsidRPr="005225F0" w:rsidSect="009965D9">
      <w:pgSz w:w="12240" w:h="15840"/>
      <w:pgMar w:top="576"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C7A"/>
    <w:rsid w:val="00092C2C"/>
    <w:rsid w:val="005225F0"/>
    <w:rsid w:val="00570544"/>
    <w:rsid w:val="00761FE9"/>
    <w:rsid w:val="008B55BE"/>
    <w:rsid w:val="009965D9"/>
    <w:rsid w:val="00B00C7A"/>
    <w:rsid w:val="00C25726"/>
    <w:rsid w:val="00CD4CBD"/>
    <w:rsid w:val="00DD5EAC"/>
    <w:rsid w:val="00DE67BF"/>
    <w:rsid w:val="00F92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5D9"/>
    <w:rPr>
      <w:sz w:val="24"/>
      <w:szCs w:val="24"/>
    </w:rPr>
  </w:style>
  <w:style w:type="paragraph" w:styleId="BalloonText">
    <w:name w:val="Balloon Text"/>
    <w:basedOn w:val="Normal"/>
    <w:link w:val="BalloonTextChar"/>
    <w:uiPriority w:val="99"/>
    <w:semiHidden/>
    <w:unhideWhenUsed/>
    <w:rsid w:val="00761FE9"/>
    <w:rPr>
      <w:rFonts w:ascii="Tahoma" w:hAnsi="Tahoma" w:cs="Tahoma"/>
      <w:sz w:val="16"/>
      <w:szCs w:val="16"/>
    </w:rPr>
  </w:style>
  <w:style w:type="character" w:customStyle="1" w:styleId="BalloonTextChar">
    <w:name w:val="Balloon Text Char"/>
    <w:basedOn w:val="DefaultParagraphFont"/>
    <w:link w:val="BalloonText"/>
    <w:uiPriority w:val="99"/>
    <w:semiHidden/>
    <w:rsid w:val="00761FE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C7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5D9"/>
    <w:rPr>
      <w:sz w:val="24"/>
      <w:szCs w:val="24"/>
    </w:rPr>
  </w:style>
  <w:style w:type="paragraph" w:styleId="BalloonText">
    <w:name w:val="Balloon Text"/>
    <w:basedOn w:val="Normal"/>
    <w:link w:val="BalloonTextChar"/>
    <w:uiPriority w:val="99"/>
    <w:semiHidden/>
    <w:unhideWhenUsed/>
    <w:rsid w:val="00761FE9"/>
    <w:rPr>
      <w:rFonts w:ascii="Tahoma" w:hAnsi="Tahoma" w:cs="Tahoma"/>
      <w:sz w:val="16"/>
      <w:szCs w:val="16"/>
    </w:rPr>
  </w:style>
  <w:style w:type="character" w:customStyle="1" w:styleId="BalloonTextChar">
    <w:name w:val="Balloon Text Char"/>
    <w:basedOn w:val="DefaultParagraphFont"/>
    <w:link w:val="BalloonText"/>
    <w:uiPriority w:val="99"/>
    <w:semiHidden/>
    <w:rsid w:val="00761F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dc:creator>
  <cp:lastModifiedBy>Vince</cp:lastModifiedBy>
  <cp:revision>5</cp:revision>
  <dcterms:created xsi:type="dcterms:W3CDTF">2014-11-17T22:59:00Z</dcterms:created>
  <dcterms:modified xsi:type="dcterms:W3CDTF">2015-02-05T18:15:00Z</dcterms:modified>
</cp:coreProperties>
</file>